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7617F1" w:rsidP="00F903A5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KTC</w:t>
      </w:r>
      <w:r w:rsidR="00197CF1">
        <w:rPr>
          <w:rFonts w:ascii="Arial" w:hAnsi="Arial" w:cs="Arial"/>
          <w:b/>
          <w:sz w:val="20"/>
          <w:szCs w:val="20"/>
        </w:rPr>
        <w:t>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 w:rsidR="009C13BE">
        <w:rPr>
          <w:rFonts w:ascii="Arial" w:hAnsi="Arial" w:cs="Arial"/>
          <w:b/>
          <w:sz w:val="20"/>
          <w:szCs w:val="20"/>
        </w:rPr>
        <w:t>General Mandate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617F1">
        <w:rPr>
          <w:rFonts w:ascii="Arial" w:hAnsi="Arial" w:cs="Arial"/>
          <w:sz w:val="20"/>
          <w:szCs w:val="20"/>
        </w:rPr>
        <w:t>12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617F1" w:rsidRPr="007617F1">
        <w:rPr>
          <w:rFonts w:ascii="Arial" w:hAnsi="Arial" w:cs="Arial"/>
          <w:sz w:val="20"/>
          <w:szCs w:val="20"/>
        </w:rPr>
        <w:t>Kien</w:t>
      </w:r>
      <w:proofErr w:type="spellEnd"/>
      <w:r w:rsidR="007617F1" w:rsidRPr="007617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17F1" w:rsidRPr="007617F1">
        <w:rPr>
          <w:rFonts w:ascii="Arial" w:hAnsi="Arial" w:cs="Arial"/>
          <w:sz w:val="20"/>
          <w:szCs w:val="20"/>
        </w:rPr>
        <w:t>Giang</w:t>
      </w:r>
      <w:proofErr w:type="spellEnd"/>
      <w:r w:rsidR="007617F1" w:rsidRPr="007617F1">
        <w:rPr>
          <w:rFonts w:ascii="Arial" w:hAnsi="Arial" w:cs="Arial"/>
          <w:sz w:val="20"/>
          <w:szCs w:val="20"/>
        </w:rPr>
        <w:t xml:space="preserve"> Trading Joint Stock Company</w:t>
      </w:r>
      <w:r w:rsidR="00BD3CC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9C13BE">
        <w:rPr>
          <w:rFonts w:ascii="Arial" w:hAnsi="Arial" w:cs="Arial"/>
          <w:sz w:val="20"/>
          <w:szCs w:val="20"/>
        </w:rPr>
        <w:t>General Mandate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617F1" w:rsidRDefault="007617F1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Pr="007617F1">
        <w:rPr>
          <w:rFonts w:ascii="Arial" w:hAnsi="Arial" w:cs="Arial"/>
          <w:sz w:val="20"/>
          <w:szCs w:val="20"/>
        </w:rPr>
        <w:t>March 12, 2020, at the</w:t>
      </w:r>
      <w:r>
        <w:rPr>
          <w:rFonts w:ascii="Arial" w:hAnsi="Arial" w:cs="Arial"/>
          <w:sz w:val="20"/>
          <w:szCs w:val="20"/>
        </w:rPr>
        <w:t xml:space="preserve"> Meeting</w:t>
      </w:r>
      <w:r w:rsidRPr="007617F1">
        <w:rPr>
          <w:rFonts w:ascii="Arial" w:hAnsi="Arial" w:cs="Arial"/>
          <w:sz w:val="20"/>
          <w:szCs w:val="20"/>
        </w:rPr>
        <w:t xml:space="preserve"> Hall of </w:t>
      </w:r>
      <w:proofErr w:type="spellStart"/>
      <w:r w:rsidRPr="007617F1">
        <w:rPr>
          <w:rFonts w:ascii="Arial" w:hAnsi="Arial" w:cs="Arial"/>
          <w:sz w:val="20"/>
          <w:szCs w:val="20"/>
        </w:rPr>
        <w:t>Kien</w:t>
      </w:r>
      <w:proofErr w:type="spellEnd"/>
      <w:r w:rsidRPr="007617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17F1">
        <w:rPr>
          <w:rFonts w:ascii="Arial" w:hAnsi="Arial" w:cs="Arial"/>
          <w:sz w:val="20"/>
          <w:szCs w:val="20"/>
        </w:rPr>
        <w:t>Giang</w:t>
      </w:r>
      <w:proofErr w:type="spellEnd"/>
      <w:r w:rsidRPr="007617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Trading Joint Stock Company, No.</w:t>
      </w:r>
      <w:r w:rsidRPr="007617F1">
        <w:rPr>
          <w:rFonts w:ascii="Arial" w:hAnsi="Arial" w:cs="Arial"/>
          <w:sz w:val="20"/>
          <w:szCs w:val="20"/>
        </w:rPr>
        <w:t xml:space="preserve">190, Tran </w:t>
      </w:r>
      <w:proofErr w:type="spellStart"/>
      <w:r w:rsidRPr="007617F1">
        <w:rPr>
          <w:rFonts w:ascii="Arial" w:hAnsi="Arial" w:cs="Arial"/>
          <w:sz w:val="20"/>
          <w:szCs w:val="20"/>
        </w:rPr>
        <w:t>Phu</w:t>
      </w:r>
      <w:proofErr w:type="spellEnd"/>
      <w:r w:rsidRPr="007617F1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7617F1">
        <w:rPr>
          <w:rFonts w:ascii="Arial" w:hAnsi="Arial" w:cs="Arial"/>
          <w:sz w:val="20"/>
          <w:szCs w:val="20"/>
        </w:rPr>
        <w:t>Vinh</w:t>
      </w:r>
      <w:proofErr w:type="spellEnd"/>
      <w:r w:rsidRPr="007617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17F1">
        <w:rPr>
          <w:rFonts w:ascii="Arial" w:hAnsi="Arial" w:cs="Arial"/>
          <w:sz w:val="20"/>
          <w:szCs w:val="20"/>
        </w:rPr>
        <w:t>Thanh</w:t>
      </w:r>
      <w:proofErr w:type="spellEnd"/>
      <w:r w:rsidRPr="007617F1">
        <w:rPr>
          <w:rFonts w:ascii="Arial" w:hAnsi="Arial" w:cs="Arial"/>
          <w:sz w:val="20"/>
          <w:szCs w:val="20"/>
        </w:rPr>
        <w:t xml:space="preserve"> Van War</w:t>
      </w:r>
      <w:r>
        <w:rPr>
          <w:rFonts w:ascii="Arial" w:hAnsi="Arial" w:cs="Arial"/>
          <w:sz w:val="20"/>
          <w:szCs w:val="20"/>
        </w:rPr>
        <w:t xml:space="preserve">d, </w:t>
      </w:r>
      <w:proofErr w:type="spellStart"/>
      <w:r w:rsidRPr="007617F1">
        <w:rPr>
          <w:rFonts w:ascii="Arial" w:hAnsi="Arial" w:cs="Arial"/>
          <w:sz w:val="20"/>
          <w:szCs w:val="20"/>
        </w:rPr>
        <w:t>Rach</w:t>
      </w:r>
      <w:proofErr w:type="spellEnd"/>
      <w:r w:rsidRPr="007617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17F1">
        <w:rPr>
          <w:rFonts w:ascii="Arial" w:hAnsi="Arial" w:cs="Arial"/>
          <w:sz w:val="20"/>
          <w:szCs w:val="20"/>
        </w:rPr>
        <w:t>Gia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Kien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Giang</w:t>
      </w:r>
      <w:proofErr w:type="spellEnd"/>
      <w:r>
        <w:rPr>
          <w:rFonts w:ascii="Arial" w:hAnsi="Arial" w:cs="Arial"/>
          <w:sz w:val="20"/>
          <w:szCs w:val="20"/>
        </w:rPr>
        <w:t xml:space="preserve"> Province; </w:t>
      </w:r>
      <w:r w:rsidRPr="007617F1">
        <w:rPr>
          <w:rFonts w:ascii="Arial" w:hAnsi="Arial" w:cs="Arial"/>
          <w:sz w:val="20"/>
          <w:szCs w:val="20"/>
        </w:rPr>
        <w:t xml:space="preserve">Annual General Meeting of Shareholders in 2020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7617F1">
        <w:rPr>
          <w:rFonts w:ascii="Arial" w:hAnsi="Arial" w:cs="Arial"/>
          <w:sz w:val="20"/>
          <w:szCs w:val="20"/>
        </w:rPr>
        <w:t>Kien</w:t>
      </w:r>
      <w:proofErr w:type="spellEnd"/>
      <w:r w:rsidRPr="007617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17F1">
        <w:rPr>
          <w:rFonts w:ascii="Arial" w:hAnsi="Arial" w:cs="Arial"/>
          <w:sz w:val="20"/>
          <w:szCs w:val="20"/>
        </w:rPr>
        <w:t>Gian</w:t>
      </w:r>
      <w:r>
        <w:rPr>
          <w:rFonts w:ascii="Arial" w:hAnsi="Arial" w:cs="Arial"/>
          <w:sz w:val="20"/>
          <w:szCs w:val="20"/>
        </w:rPr>
        <w:t>g</w:t>
      </w:r>
      <w:proofErr w:type="spellEnd"/>
      <w:r>
        <w:rPr>
          <w:rFonts w:ascii="Arial" w:hAnsi="Arial" w:cs="Arial"/>
          <w:sz w:val="20"/>
          <w:szCs w:val="20"/>
        </w:rPr>
        <w:t xml:space="preserve"> Trading Joint Stock Company was</w:t>
      </w:r>
      <w:r w:rsidRPr="007617F1">
        <w:rPr>
          <w:rFonts w:ascii="Arial" w:hAnsi="Arial" w:cs="Arial"/>
          <w:sz w:val="20"/>
          <w:szCs w:val="20"/>
        </w:rPr>
        <w:t xml:space="preserve"> organized with the participation </w:t>
      </w:r>
      <w:r>
        <w:rPr>
          <w:rFonts w:ascii="Arial" w:hAnsi="Arial" w:cs="Arial"/>
          <w:sz w:val="20"/>
          <w:szCs w:val="20"/>
        </w:rPr>
        <w:t>of 31 Shareholders, owning 36,</w:t>
      </w:r>
      <w:r w:rsidRPr="007617F1">
        <w:rPr>
          <w:rFonts w:ascii="Arial" w:hAnsi="Arial" w:cs="Arial"/>
          <w:sz w:val="20"/>
          <w:szCs w:val="20"/>
        </w:rPr>
        <w:t>238</w:t>
      </w:r>
      <w:r>
        <w:rPr>
          <w:rFonts w:ascii="Arial" w:hAnsi="Arial" w:cs="Arial"/>
          <w:sz w:val="20"/>
          <w:szCs w:val="20"/>
        </w:rPr>
        <w:t>,033 shares, accounting for 99.</w:t>
      </w:r>
      <w:r w:rsidRPr="007617F1">
        <w:rPr>
          <w:rFonts w:ascii="Arial" w:hAnsi="Arial" w:cs="Arial"/>
          <w:sz w:val="20"/>
          <w:szCs w:val="20"/>
        </w:rPr>
        <w:t>35% of the total voti</w:t>
      </w:r>
      <w:r>
        <w:rPr>
          <w:rFonts w:ascii="Arial" w:hAnsi="Arial" w:cs="Arial"/>
          <w:sz w:val="20"/>
          <w:szCs w:val="20"/>
        </w:rPr>
        <w:t>ng shares of the Company</w:t>
      </w:r>
    </w:p>
    <w:p w:rsidR="007617F1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 xml:space="preserve">After listening to the contents of the reports and the Proposals, the Meeting discussed and </w:t>
      </w:r>
      <w:r>
        <w:rPr>
          <w:rFonts w:ascii="Arial" w:hAnsi="Arial" w:cs="Arial"/>
          <w:sz w:val="20"/>
          <w:szCs w:val="20"/>
        </w:rPr>
        <w:t>approved the General Mandate</w:t>
      </w:r>
      <w:r w:rsidRPr="007617F1">
        <w:rPr>
          <w:rFonts w:ascii="Arial" w:hAnsi="Arial" w:cs="Arial"/>
          <w:sz w:val="20"/>
          <w:szCs w:val="20"/>
        </w:rPr>
        <w:t xml:space="preserve"> with the following contents: </w:t>
      </w:r>
    </w:p>
    <w:p w:rsidR="007617F1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>Content 1: Approve the Board of Directors</w:t>
      </w:r>
      <w:r>
        <w:rPr>
          <w:rFonts w:ascii="Arial" w:hAnsi="Arial" w:cs="Arial"/>
          <w:sz w:val="20"/>
          <w:szCs w:val="20"/>
        </w:rPr>
        <w:t>’</w:t>
      </w:r>
      <w:r w:rsidRPr="007617F1">
        <w:rPr>
          <w:rFonts w:ascii="Arial" w:hAnsi="Arial" w:cs="Arial"/>
          <w:sz w:val="20"/>
          <w:szCs w:val="20"/>
        </w:rPr>
        <w:t xml:space="preserve"> Operation Report 20</w:t>
      </w:r>
      <w:r>
        <w:rPr>
          <w:rFonts w:ascii="Arial" w:hAnsi="Arial" w:cs="Arial"/>
          <w:sz w:val="20"/>
          <w:szCs w:val="20"/>
        </w:rPr>
        <w:t>19 and the operation</w:t>
      </w:r>
      <w:r w:rsidRPr="007617F1">
        <w:rPr>
          <w:rFonts w:ascii="Arial" w:hAnsi="Arial" w:cs="Arial"/>
          <w:sz w:val="20"/>
          <w:szCs w:val="20"/>
        </w:rPr>
        <w:t xml:space="preserve"> Plan </w:t>
      </w:r>
      <w:r>
        <w:rPr>
          <w:rFonts w:ascii="Arial" w:hAnsi="Arial" w:cs="Arial"/>
          <w:sz w:val="20"/>
          <w:szCs w:val="20"/>
        </w:rPr>
        <w:t>2020 (attached to the Report)</w:t>
      </w:r>
    </w:p>
    <w:p w:rsidR="007617F1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>Content 2: Approve the report on evaluation of production and business results in 2019 and the pl</w:t>
      </w:r>
      <w:r>
        <w:rPr>
          <w:rFonts w:ascii="Arial" w:hAnsi="Arial" w:cs="Arial"/>
          <w:sz w:val="20"/>
          <w:szCs w:val="20"/>
        </w:rPr>
        <w:t>an of production and business for</w:t>
      </w:r>
      <w:r w:rsidRPr="007617F1">
        <w:rPr>
          <w:rFonts w:ascii="Arial" w:hAnsi="Arial" w:cs="Arial"/>
          <w:sz w:val="20"/>
          <w:szCs w:val="20"/>
        </w:rPr>
        <w:t xml:space="preserve"> 2020 (attached to the Report)</w:t>
      </w:r>
    </w:p>
    <w:p w:rsidR="007617F1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>Content 3: Approve the Operation Report of the Supervisory Board (attached to the Report)</w:t>
      </w:r>
    </w:p>
    <w:p w:rsidR="007617F1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 xml:space="preserve">Content 4: Approve the audited financial statements of 2019 (full text of the audited financial statements of 2019 </w:t>
      </w:r>
      <w:r>
        <w:rPr>
          <w:rFonts w:ascii="Arial" w:hAnsi="Arial" w:cs="Arial"/>
          <w:sz w:val="20"/>
          <w:szCs w:val="20"/>
        </w:rPr>
        <w:t>is loaded on</w:t>
      </w:r>
      <w:r w:rsidRPr="007617F1">
        <w:rPr>
          <w:rFonts w:ascii="Arial" w:hAnsi="Arial" w:cs="Arial"/>
          <w:sz w:val="20"/>
          <w:szCs w:val="20"/>
        </w:rPr>
        <w:t xml:space="preserve"> website</w:t>
      </w:r>
      <w:r>
        <w:rPr>
          <w:rFonts w:ascii="Arial" w:hAnsi="Arial" w:cs="Arial"/>
          <w:sz w:val="20"/>
          <w:szCs w:val="20"/>
        </w:rPr>
        <w:t xml:space="preserve"> of the Company at the link https://www.k</w:t>
      </w:r>
      <w:r w:rsidRPr="007617F1">
        <w:rPr>
          <w:rFonts w:ascii="Arial" w:hAnsi="Arial" w:cs="Arial"/>
          <w:sz w:val="20"/>
          <w:szCs w:val="20"/>
        </w:rPr>
        <w:t>tcvn.com</w:t>
      </w:r>
      <w:r>
        <w:rPr>
          <w:rFonts w:ascii="Arial" w:hAnsi="Arial" w:cs="Arial"/>
          <w:sz w:val="20"/>
          <w:szCs w:val="20"/>
        </w:rPr>
        <w:t>.vn</w:t>
      </w:r>
      <w:r w:rsidRPr="007617F1">
        <w:rPr>
          <w:rFonts w:ascii="Arial" w:hAnsi="Arial" w:cs="Arial"/>
          <w:sz w:val="20"/>
          <w:szCs w:val="20"/>
        </w:rPr>
        <w:t>/vn/bao-cao-tai-</w:t>
      </w:r>
      <w:r>
        <w:rPr>
          <w:rFonts w:ascii="Arial" w:hAnsi="Arial" w:cs="Arial"/>
          <w:sz w:val="20"/>
          <w:szCs w:val="20"/>
        </w:rPr>
        <w:t>chinh.</w:t>
      </w:r>
      <w:r w:rsidRPr="007617F1">
        <w:rPr>
          <w:rFonts w:ascii="Arial" w:hAnsi="Arial" w:cs="Arial"/>
          <w:sz w:val="20"/>
          <w:szCs w:val="20"/>
        </w:rPr>
        <w:t xml:space="preserve">html) </w:t>
      </w:r>
    </w:p>
    <w:p w:rsidR="007617F1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>Content 5: Approve the Business Plan 2020 (attach</w:t>
      </w:r>
      <w:r>
        <w:rPr>
          <w:rFonts w:ascii="Arial" w:hAnsi="Arial" w:cs="Arial"/>
          <w:sz w:val="20"/>
          <w:szCs w:val="20"/>
        </w:rPr>
        <w:t>ed to</w:t>
      </w:r>
      <w:r w:rsidRPr="007617F1">
        <w:rPr>
          <w:rFonts w:ascii="Arial" w:hAnsi="Arial" w:cs="Arial"/>
          <w:sz w:val="20"/>
          <w:szCs w:val="20"/>
        </w:rPr>
        <w:t xml:space="preserve"> the Statement)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306"/>
        <w:gridCol w:w="2387"/>
        <w:gridCol w:w="2388"/>
      </w:tblGrid>
      <w:tr w:rsidR="007617F1" w:rsidTr="00363980">
        <w:tc>
          <w:tcPr>
            <w:tcW w:w="495" w:type="dxa"/>
          </w:tcPr>
          <w:p w:rsidR="007617F1" w:rsidRDefault="007617F1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06" w:type="dxa"/>
          </w:tcPr>
          <w:p w:rsidR="007617F1" w:rsidRDefault="007617F1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2387" w:type="dxa"/>
          </w:tcPr>
          <w:p w:rsidR="007617F1" w:rsidRDefault="007617F1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88" w:type="dxa"/>
          </w:tcPr>
          <w:p w:rsidR="007617F1" w:rsidRDefault="007617F1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 in 2020</w:t>
            </w:r>
          </w:p>
        </w:tc>
      </w:tr>
      <w:tr w:rsidR="007617F1" w:rsidTr="00363980">
        <w:tc>
          <w:tcPr>
            <w:tcW w:w="495" w:type="dxa"/>
          </w:tcPr>
          <w:p w:rsidR="007617F1" w:rsidRDefault="007617F1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7617F1" w:rsidRDefault="007617F1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 from selling goods and services</w:t>
            </w:r>
          </w:p>
        </w:tc>
        <w:tc>
          <w:tcPr>
            <w:tcW w:w="2387" w:type="dxa"/>
          </w:tcPr>
          <w:p w:rsidR="007617F1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2388" w:type="dxa"/>
          </w:tcPr>
          <w:p w:rsidR="007617F1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7,580,032</w:t>
            </w:r>
          </w:p>
        </w:tc>
      </w:tr>
      <w:tr w:rsidR="007617F1" w:rsidTr="00363980">
        <w:tc>
          <w:tcPr>
            <w:tcW w:w="495" w:type="dxa"/>
          </w:tcPr>
          <w:p w:rsidR="007617F1" w:rsidRDefault="007617F1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6" w:type="dxa"/>
          </w:tcPr>
          <w:p w:rsidR="007617F1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</w:t>
            </w:r>
          </w:p>
        </w:tc>
        <w:tc>
          <w:tcPr>
            <w:tcW w:w="2387" w:type="dxa"/>
          </w:tcPr>
          <w:p w:rsidR="007617F1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2388" w:type="dxa"/>
          </w:tcPr>
          <w:p w:rsidR="007617F1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6,737,502</w:t>
            </w:r>
          </w:p>
        </w:tc>
      </w:tr>
      <w:tr w:rsidR="00363980" w:rsidTr="00363980">
        <w:tc>
          <w:tcPr>
            <w:tcW w:w="495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6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2387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2388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38,585</w:t>
            </w:r>
          </w:p>
        </w:tc>
      </w:tr>
      <w:tr w:rsidR="00363980" w:rsidTr="00363980">
        <w:tc>
          <w:tcPr>
            <w:tcW w:w="495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6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2387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2388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30,868</w:t>
            </w:r>
          </w:p>
        </w:tc>
      </w:tr>
      <w:tr w:rsidR="00363980" w:rsidTr="00363980">
        <w:tc>
          <w:tcPr>
            <w:tcW w:w="495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6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</w:t>
            </w:r>
          </w:p>
        </w:tc>
        <w:tc>
          <w:tcPr>
            <w:tcW w:w="2387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980" w:rsidTr="00363980">
        <w:tc>
          <w:tcPr>
            <w:tcW w:w="495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4306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Petroleum all kinds</w:t>
            </w:r>
          </w:p>
        </w:tc>
        <w:tc>
          <w:tcPr>
            <w:tcW w:w="2387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2388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250,000</w:t>
            </w:r>
          </w:p>
        </w:tc>
      </w:tr>
      <w:tr w:rsidR="00363980" w:rsidTr="00363980">
        <w:tc>
          <w:tcPr>
            <w:tcW w:w="495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4306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Rice all kinds</w:t>
            </w:r>
          </w:p>
        </w:tc>
        <w:tc>
          <w:tcPr>
            <w:tcW w:w="2387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2388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227,000</w:t>
            </w:r>
          </w:p>
        </w:tc>
      </w:tr>
      <w:tr w:rsidR="00363980" w:rsidTr="00363980">
        <w:tc>
          <w:tcPr>
            <w:tcW w:w="495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4306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 food</w:t>
            </w:r>
          </w:p>
        </w:tc>
        <w:tc>
          <w:tcPr>
            <w:tcW w:w="2387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Container</w:t>
            </w:r>
          </w:p>
        </w:tc>
        <w:tc>
          <w:tcPr>
            <w:tcW w:w="2388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</w:tr>
      <w:tr w:rsidR="00363980" w:rsidTr="00363980">
        <w:tc>
          <w:tcPr>
            <w:tcW w:w="495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4306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 estate</w:t>
            </w:r>
          </w:p>
        </w:tc>
        <w:tc>
          <w:tcPr>
            <w:tcW w:w="2387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2388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33,000</w:t>
            </w:r>
          </w:p>
        </w:tc>
      </w:tr>
      <w:tr w:rsidR="00363980" w:rsidTr="00363980">
        <w:tc>
          <w:tcPr>
            <w:tcW w:w="495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6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tax/ equity</w:t>
            </w:r>
          </w:p>
        </w:tc>
        <w:tc>
          <w:tcPr>
            <w:tcW w:w="2387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88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10.58</w:t>
            </w:r>
          </w:p>
        </w:tc>
      </w:tr>
      <w:tr w:rsidR="00363980" w:rsidTr="00363980">
        <w:tc>
          <w:tcPr>
            <w:tcW w:w="495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6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salary</w:t>
            </w:r>
          </w:p>
        </w:tc>
        <w:tc>
          <w:tcPr>
            <w:tcW w:w="2387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VND/ person/ month</w:t>
            </w:r>
          </w:p>
        </w:tc>
        <w:tc>
          <w:tcPr>
            <w:tcW w:w="2388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7,524,000</w:t>
            </w:r>
          </w:p>
        </w:tc>
      </w:tr>
      <w:tr w:rsidR="00363980" w:rsidTr="00363980">
        <w:tc>
          <w:tcPr>
            <w:tcW w:w="495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6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Expected dividend payment </w:t>
            </w:r>
          </w:p>
        </w:tc>
        <w:tc>
          <w:tcPr>
            <w:tcW w:w="2387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88" w:type="dxa"/>
          </w:tcPr>
          <w:p w:rsidR="00363980" w:rsidRDefault="00363980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6% to 8%</w:t>
            </w:r>
          </w:p>
        </w:tc>
      </w:tr>
    </w:tbl>
    <w:p w:rsidR="007617F1" w:rsidRDefault="007617F1" w:rsidP="00F903A5">
      <w:pPr>
        <w:jc w:val="both"/>
        <w:rPr>
          <w:rFonts w:ascii="Arial" w:hAnsi="Arial" w:cs="Arial"/>
          <w:sz w:val="20"/>
          <w:szCs w:val="20"/>
        </w:rPr>
      </w:pPr>
    </w:p>
    <w:p w:rsidR="00363980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>Content 6: Approve the plan of profit d</w:t>
      </w:r>
      <w:r w:rsidR="00363980">
        <w:rPr>
          <w:rFonts w:ascii="Arial" w:hAnsi="Arial" w:cs="Arial"/>
          <w:sz w:val="20"/>
          <w:szCs w:val="20"/>
        </w:rPr>
        <w:t>istribution, dividend payment for</w:t>
      </w:r>
      <w:r w:rsidRPr="007617F1">
        <w:rPr>
          <w:rFonts w:ascii="Arial" w:hAnsi="Arial" w:cs="Arial"/>
          <w:sz w:val="20"/>
          <w:szCs w:val="20"/>
        </w:rPr>
        <w:t xml:space="preserve"> 2</w:t>
      </w:r>
      <w:r w:rsidR="00363980">
        <w:rPr>
          <w:rFonts w:ascii="Arial" w:hAnsi="Arial" w:cs="Arial"/>
          <w:sz w:val="20"/>
          <w:szCs w:val="20"/>
        </w:rPr>
        <w:t>019 (attached to the Statement)</w:t>
      </w:r>
    </w:p>
    <w:p w:rsidR="00363980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>- Profit after tax in 2019</w:t>
      </w:r>
      <w:r w:rsidR="00363980">
        <w:rPr>
          <w:rFonts w:ascii="Arial" w:hAnsi="Arial" w:cs="Arial"/>
          <w:sz w:val="20"/>
          <w:szCs w:val="20"/>
        </w:rPr>
        <w:t>: VND</w:t>
      </w:r>
      <w:r w:rsidRPr="007617F1">
        <w:rPr>
          <w:rFonts w:ascii="Arial" w:hAnsi="Arial" w:cs="Arial"/>
          <w:sz w:val="20"/>
          <w:szCs w:val="20"/>
        </w:rPr>
        <w:t xml:space="preserve"> 32</w:t>
      </w:r>
      <w:r w:rsidR="00363980">
        <w:rPr>
          <w:rFonts w:ascii="Arial" w:hAnsi="Arial" w:cs="Arial"/>
          <w:sz w:val="20"/>
          <w:szCs w:val="20"/>
        </w:rPr>
        <w:t>,</w:t>
      </w:r>
      <w:r w:rsidRPr="007617F1">
        <w:rPr>
          <w:rFonts w:ascii="Arial" w:hAnsi="Arial" w:cs="Arial"/>
          <w:sz w:val="20"/>
          <w:szCs w:val="20"/>
        </w:rPr>
        <w:t>486</w:t>
      </w:r>
      <w:r w:rsidR="00363980">
        <w:rPr>
          <w:rFonts w:ascii="Arial" w:hAnsi="Arial" w:cs="Arial"/>
          <w:sz w:val="20"/>
          <w:szCs w:val="20"/>
        </w:rPr>
        <w:t>,</w:t>
      </w:r>
      <w:r w:rsidRPr="007617F1">
        <w:rPr>
          <w:rFonts w:ascii="Arial" w:hAnsi="Arial" w:cs="Arial"/>
          <w:sz w:val="20"/>
          <w:szCs w:val="20"/>
        </w:rPr>
        <w:t>343</w:t>
      </w:r>
      <w:r w:rsidR="00363980">
        <w:rPr>
          <w:rFonts w:ascii="Arial" w:hAnsi="Arial" w:cs="Arial"/>
          <w:sz w:val="20"/>
          <w:szCs w:val="20"/>
        </w:rPr>
        <w:t>,</w:t>
      </w:r>
      <w:r w:rsidRPr="007617F1">
        <w:rPr>
          <w:rFonts w:ascii="Arial" w:hAnsi="Arial" w:cs="Arial"/>
          <w:sz w:val="20"/>
          <w:szCs w:val="20"/>
        </w:rPr>
        <w:t>00</w:t>
      </w:r>
      <w:r w:rsidR="00363980">
        <w:rPr>
          <w:rFonts w:ascii="Arial" w:hAnsi="Arial" w:cs="Arial"/>
          <w:sz w:val="20"/>
          <w:szCs w:val="20"/>
        </w:rPr>
        <w:t>8</w:t>
      </w:r>
    </w:p>
    <w:p w:rsidR="00363980" w:rsidRDefault="00363980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Retained</w:t>
      </w:r>
      <w:r w:rsidR="007617F1" w:rsidRPr="007617F1">
        <w:rPr>
          <w:rFonts w:ascii="Arial" w:hAnsi="Arial" w:cs="Arial"/>
          <w:sz w:val="20"/>
          <w:szCs w:val="20"/>
        </w:rPr>
        <w:t xml:space="preserve"> profit of the previous </w:t>
      </w:r>
      <w:r>
        <w:rPr>
          <w:rFonts w:ascii="Arial" w:hAnsi="Arial" w:cs="Arial"/>
          <w:sz w:val="20"/>
          <w:szCs w:val="20"/>
        </w:rPr>
        <w:t>year: VND 3,027,367,267</w:t>
      </w:r>
    </w:p>
    <w:p w:rsidR="00363980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>- Total profit allowed</w:t>
      </w:r>
      <w:r w:rsidR="00363980">
        <w:rPr>
          <w:rFonts w:ascii="Arial" w:hAnsi="Arial" w:cs="Arial"/>
          <w:sz w:val="20"/>
          <w:szCs w:val="20"/>
        </w:rPr>
        <w:t xml:space="preserve"> for</w:t>
      </w:r>
      <w:r w:rsidRPr="007617F1">
        <w:rPr>
          <w:rFonts w:ascii="Arial" w:hAnsi="Arial" w:cs="Arial"/>
          <w:sz w:val="20"/>
          <w:szCs w:val="20"/>
        </w:rPr>
        <w:t xml:space="preserve"> </w:t>
      </w:r>
      <w:r w:rsidR="00363980" w:rsidRPr="007617F1">
        <w:rPr>
          <w:rFonts w:ascii="Arial" w:hAnsi="Arial" w:cs="Arial"/>
          <w:sz w:val="20"/>
          <w:szCs w:val="20"/>
        </w:rPr>
        <w:t>distributing</w:t>
      </w:r>
      <w:r w:rsidR="00363980">
        <w:rPr>
          <w:rFonts w:ascii="Arial" w:hAnsi="Arial" w:cs="Arial"/>
          <w:sz w:val="20"/>
          <w:szCs w:val="20"/>
        </w:rPr>
        <w:t>: VND 35,513,710,275</w:t>
      </w:r>
    </w:p>
    <w:p w:rsidR="00363980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>- Distributing</w:t>
      </w:r>
      <w:r w:rsidR="00363980">
        <w:rPr>
          <w:rFonts w:ascii="Arial" w:hAnsi="Arial" w:cs="Arial"/>
          <w:sz w:val="20"/>
          <w:szCs w:val="20"/>
        </w:rPr>
        <w:t xml:space="preserve"> in</w:t>
      </w:r>
      <w:r w:rsidRPr="007617F1">
        <w:rPr>
          <w:rFonts w:ascii="Arial" w:hAnsi="Arial" w:cs="Arial"/>
          <w:sz w:val="20"/>
          <w:szCs w:val="20"/>
        </w:rPr>
        <w:t xml:space="preserve"> this pe</w:t>
      </w:r>
      <w:r w:rsidR="00363980">
        <w:rPr>
          <w:rFonts w:ascii="Arial" w:hAnsi="Arial" w:cs="Arial"/>
          <w:sz w:val="20"/>
          <w:szCs w:val="20"/>
        </w:rPr>
        <w:t>riod: VND 32,321,796,202</w:t>
      </w:r>
    </w:p>
    <w:p w:rsidR="00363980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lastRenderedPageBreak/>
        <w:t>In which</w:t>
      </w:r>
      <w:r w:rsidR="00363980">
        <w:rPr>
          <w:rFonts w:ascii="Arial" w:hAnsi="Arial" w:cs="Arial"/>
          <w:sz w:val="20"/>
          <w:szCs w:val="20"/>
        </w:rPr>
        <w:t xml:space="preserve">: </w:t>
      </w:r>
      <w:r w:rsidRPr="007617F1">
        <w:rPr>
          <w:rFonts w:ascii="Arial" w:hAnsi="Arial" w:cs="Arial"/>
          <w:sz w:val="20"/>
          <w:szCs w:val="20"/>
        </w:rPr>
        <w:t xml:space="preserve"> </w:t>
      </w:r>
    </w:p>
    <w:p w:rsidR="00363980" w:rsidRDefault="00363980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Deduction to</w:t>
      </w:r>
      <w:r w:rsidR="007617F1" w:rsidRPr="007617F1">
        <w:rPr>
          <w:rFonts w:ascii="Arial" w:hAnsi="Arial" w:cs="Arial"/>
          <w:sz w:val="20"/>
          <w:szCs w:val="20"/>
        </w:rPr>
        <w:t xml:space="preserve"> development investment fund (10% of </w:t>
      </w:r>
      <w:r w:rsidR="00B02B47">
        <w:rPr>
          <w:rFonts w:ascii="Arial" w:hAnsi="Arial" w:cs="Arial"/>
          <w:sz w:val="20"/>
          <w:szCs w:val="20"/>
        </w:rPr>
        <w:t xml:space="preserve">profit </w:t>
      </w:r>
      <w:r w:rsidR="007617F1" w:rsidRPr="007617F1">
        <w:rPr>
          <w:rFonts w:ascii="Arial" w:hAnsi="Arial" w:cs="Arial"/>
          <w:sz w:val="20"/>
          <w:szCs w:val="20"/>
        </w:rPr>
        <w:t>after t</w:t>
      </w:r>
      <w:r>
        <w:rPr>
          <w:rFonts w:ascii="Arial" w:hAnsi="Arial" w:cs="Arial"/>
          <w:sz w:val="20"/>
          <w:szCs w:val="20"/>
        </w:rPr>
        <w:t>ax): VND 3,248,634,301</w:t>
      </w:r>
    </w:p>
    <w:p w:rsidR="00363980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 xml:space="preserve">+ Appropriation to bonus and welfare fund (10% of </w:t>
      </w:r>
      <w:r w:rsidR="00B02B47">
        <w:rPr>
          <w:rFonts w:ascii="Arial" w:hAnsi="Arial" w:cs="Arial"/>
          <w:sz w:val="20"/>
          <w:szCs w:val="20"/>
        </w:rPr>
        <w:t xml:space="preserve">profit </w:t>
      </w:r>
      <w:r w:rsidRPr="007617F1">
        <w:rPr>
          <w:rFonts w:ascii="Arial" w:hAnsi="Arial" w:cs="Arial"/>
          <w:sz w:val="20"/>
          <w:szCs w:val="20"/>
        </w:rPr>
        <w:t>afte</w:t>
      </w:r>
      <w:r w:rsidR="00363980">
        <w:rPr>
          <w:rFonts w:ascii="Arial" w:hAnsi="Arial" w:cs="Arial"/>
          <w:sz w:val="20"/>
          <w:szCs w:val="20"/>
        </w:rPr>
        <w:t>r tax): VND</w:t>
      </w:r>
      <w:r w:rsidR="00B02B47">
        <w:rPr>
          <w:rFonts w:ascii="Arial" w:hAnsi="Arial" w:cs="Arial"/>
          <w:sz w:val="20"/>
          <w:szCs w:val="20"/>
        </w:rPr>
        <w:t xml:space="preserve"> 3,248,</w:t>
      </w:r>
      <w:r w:rsidR="00363980">
        <w:rPr>
          <w:rFonts w:ascii="Arial" w:hAnsi="Arial" w:cs="Arial"/>
          <w:sz w:val="20"/>
          <w:szCs w:val="20"/>
        </w:rPr>
        <w:t>634,301</w:t>
      </w:r>
    </w:p>
    <w:p w:rsidR="00363980" w:rsidRDefault="00B02B4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Reward</w:t>
      </w:r>
      <w:r w:rsidR="007617F1" w:rsidRPr="007617F1">
        <w:rPr>
          <w:rFonts w:ascii="Arial" w:hAnsi="Arial" w:cs="Arial"/>
          <w:sz w:val="20"/>
          <w:szCs w:val="20"/>
        </w:rPr>
        <w:t xml:space="preserve"> all cadr</w:t>
      </w:r>
      <w:r w:rsidR="00363980">
        <w:rPr>
          <w:rFonts w:ascii="Arial" w:hAnsi="Arial" w:cs="Arial"/>
          <w:sz w:val="20"/>
          <w:szCs w:val="20"/>
        </w:rPr>
        <w:t xml:space="preserve">es, workers, employees in the </w:t>
      </w:r>
      <w:r w:rsidR="007617F1" w:rsidRPr="007617F1">
        <w:rPr>
          <w:rFonts w:ascii="Arial" w:hAnsi="Arial" w:cs="Arial"/>
          <w:sz w:val="20"/>
          <w:szCs w:val="20"/>
        </w:rPr>
        <w:t>Company 01 month salary Appendix II (13 month salary) corresponding to the amount</w:t>
      </w:r>
      <w:r w:rsidR="00363980">
        <w:rPr>
          <w:rFonts w:ascii="Arial" w:hAnsi="Arial" w:cs="Arial"/>
          <w:sz w:val="20"/>
          <w:szCs w:val="20"/>
        </w:rPr>
        <w:t xml:space="preserve"> of: VND 3,440,227,800</w:t>
      </w:r>
    </w:p>
    <w:p w:rsidR="00363980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>+ Reward for managers and exe</w:t>
      </w:r>
      <w:r w:rsidR="00363980">
        <w:rPr>
          <w:rFonts w:ascii="Arial" w:hAnsi="Arial" w:cs="Arial"/>
          <w:sz w:val="20"/>
          <w:szCs w:val="20"/>
        </w:rPr>
        <w:t>cutives: VND 500,000,000</w:t>
      </w:r>
    </w:p>
    <w:p w:rsidR="00363980" w:rsidRDefault="00B02B4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Dividend payment</w:t>
      </w:r>
      <w:r w:rsidR="007617F1" w:rsidRPr="007617F1">
        <w:rPr>
          <w:rFonts w:ascii="Arial" w:hAnsi="Arial" w:cs="Arial"/>
          <w:sz w:val="20"/>
          <w:szCs w:val="20"/>
        </w:rPr>
        <w:t xml:space="preserve"> to Shareholders (6% of charter capita</w:t>
      </w:r>
      <w:r w:rsidR="00363980">
        <w:rPr>
          <w:rFonts w:ascii="Arial" w:hAnsi="Arial" w:cs="Arial"/>
          <w:sz w:val="20"/>
          <w:szCs w:val="20"/>
        </w:rPr>
        <w:t>l): VND 21,884,299,800</w:t>
      </w:r>
    </w:p>
    <w:p w:rsidR="00363980" w:rsidRDefault="00B02B4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Retained</w:t>
      </w:r>
      <w:r w:rsidR="007617F1" w:rsidRPr="007617F1">
        <w:rPr>
          <w:rFonts w:ascii="Arial" w:hAnsi="Arial" w:cs="Arial"/>
          <w:sz w:val="20"/>
          <w:szCs w:val="20"/>
        </w:rPr>
        <w:t xml:space="preserve"> prof</w:t>
      </w:r>
      <w:r>
        <w:rPr>
          <w:rFonts w:ascii="Arial" w:hAnsi="Arial" w:cs="Arial"/>
          <w:sz w:val="20"/>
          <w:szCs w:val="20"/>
        </w:rPr>
        <w:t>it</w:t>
      </w:r>
      <w:r w:rsidR="00363980">
        <w:rPr>
          <w:rFonts w:ascii="Arial" w:hAnsi="Arial" w:cs="Arial"/>
          <w:sz w:val="20"/>
          <w:szCs w:val="20"/>
        </w:rPr>
        <w:t>: VND 3,191,914,703</w:t>
      </w:r>
    </w:p>
    <w:p w:rsidR="00B02B47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>Content 7:</w:t>
      </w:r>
      <w:r w:rsidR="00B02B47">
        <w:rPr>
          <w:rFonts w:ascii="Arial" w:hAnsi="Arial" w:cs="Arial"/>
          <w:sz w:val="20"/>
          <w:szCs w:val="20"/>
        </w:rPr>
        <w:t xml:space="preserve"> Approve the Statement on remuneration to the Board of Directors, Supervisory Board in 2019</w:t>
      </w:r>
      <w:r w:rsidRPr="007617F1">
        <w:rPr>
          <w:rFonts w:ascii="Arial" w:hAnsi="Arial" w:cs="Arial"/>
          <w:sz w:val="20"/>
          <w:szCs w:val="20"/>
        </w:rPr>
        <w:t xml:space="preserve"> and </w:t>
      </w:r>
      <w:r w:rsidR="00B02B47">
        <w:rPr>
          <w:rFonts w:ascii="Arial" w:hAnsi="Arial" w:cs="Arial"/>
          <w:sz w:val="20"/>
          <w:szCs w:val="20"/>
        </w:rPr>
        <w:t>r</w:t>
      </w:r>
      <w:r w:rsidRPr="007617F1">
        <w:rPr>
          <w:rFonts w:ascii="Arial" w:hAnsi="Arial" w:cs="Arial"/>
          <w:sz w:val="20"/>
          <w:szCs w:val="20"/>
        </w:rPr>
        <w:t xml:space="preserve">emuneration Plan 2020 (attached </w:t>
      </w:r>
      <w:r w:rsidR="00B02B47">
        <w:rPr>
          <w:rFonts w:ascii="Arial" w:hAnsi="Arial" w:cs="Arial"/>
          <w:sz w:val="20"/>
          <w:szCs w:val="20"/>
        </w:rPr>
        <w:t>Statement</w:t>
      </w:r>
      <w:r w:rsidRPr="007617F1">
        <w:rPr>
          <w:rFonts w:ascii="Arial" w:hAnsi="Arial" w:cs="Arial"/>
          <w:sz w:val="20"/>
          <w:szCs w:val="20"/>
        </w:rPr>
        <w:t>)</w:t>
      </w:r>
    </w:p>
    <w:p w:rsidR="00B02B47" w:rsidRDefault="00B02B4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617F1" w:rsidRPr="007617F1">
        <w:rPr>
          <w:rFonts w:ascii="Arial" w:hAnsi="Arial" w:cs="Arial"/>
          <w:sz w:val="20"/>
          <w:szCs w:val="20"/>
        </w:rPr>
        <w:t xml:space="preserve">Remuneration for 2019 </w:t>
      </w:r>
    </w:p>
    <w:p w:rsidR="00B02B47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 xml:space="preserve">- Vice Chairman of the </w:t>
      </w:r>
      <w:r w:rsidR="00B02B47">
        <w:rPr>
          <w:rFonts w:ascii="Arial" w:hAnsi="Arial" w:cs="Arial"/>
          <w:sz w:val="20"/>
          <w:szCs w:val="20"/>
        </w:rPr>
        <w:t>Board of Directors</w:t>
      </w:r>
      <w:r w:rsidR="00380B11">
        <w:rPr>
          <w:rFonts w:ascii="Arial" w:hAnsi="Arial" w:cs="Arial"/>
          <w:sz w:val="20"/>
          <w:szCs w:val="20"/>
        </w:rPr>
        <w:t>: VND</w:t>
      </w:r>
      <w:r w:rsidRPr="007617F1">
        <w:rPr>
          <w:rFonts w:ascii="Arial" w:hAnsi="Arial" w:cs="Arial"/>
          <w:sz w:val="20"/>
          <w:szCs w:val="20"/>
        </w:rPr>
        <w:t xml:space="preserve"> 7</w:t>
      </w:r>
      <w:r w:rsidR="00380B11">
        <w:rPr>
          <w:rFonts w:ascii="Arial" w:hAnsi="Arial" w:cs="Arial"/>
          <w:sz w:val="20"/>
          <w:szCs w:val="20"/>
        </w:rPr>
        <w:t>,</w:t>
      </w:r>
      <w:r w:rsidRPr="007617F1">
        <w:rPr>
          <w:rFonts w:ascii="Arial" w:hAnsi="Arial" w:cs="Arial"/>
          <w:sz w:val="20"/>
          <w:szCs w:val="20"/>
        </w:rPr>
        <w:t>000</w:t>
      </w:r>
      <w:r w:rsidR="00380B11">
        <w:rPr>
          <w:rFonts w:ascii="Arial" w:hAnsi="Arial" w:cs="Arial"/>
          <w:sz w:val="20"/>
          <w:szCs w:val="20"/>
        </w:rPr>
        <w:t>,000</w:t>
      </w:r>
      <w:r w:rsidRPr="007617F1">
        <w:rPr>
          <w:rFonts w:ascii="Arial" w:hAnsi="Arial" w:cs="Arial"/>
          <w:sz w:val="20"/>
          <w:szCs w:val="20"/>
        </w:rPr>
        <w:t>/ month x 12 months x 1</w:t>
      </w:r>
      <w:r w:rsidR="00B02B47">
        <w:rPr>
          <w:rFonts w:ascii="Arial" w:hAnsi="Arial" w:cs="Arial"/>
          <w:sz w:val="20"/>
          <w:szCs w:val="20"/>
        </w:rPr>
        <w:t xml:space="preserve"> person = </w:t>
      </w:r>
      <w:r w:rsidR="00380B11">
        <w:rPr>
          <w:rFonts w:ascii="Arial" w:hAnsi="Arial" w:cs="Arial"/>
          <w:sz w:val="20"/>
          <w:szCs w:val="20"/>
        </w:rPr>
        <w:t xml:space="preserve">VND </w:t>
      </w:r>
      <w:r w:rsidR="00B02B47">
        <w:rPr>
          <w:rFonts w:ascii="Arial" w:hAnsi="Arial" w:cs="Arial"/>
          <w:sz w:val="20"/>
          <w:szCs w:val="20"/>
        </w:rPr>
        <w:t>84</w:t>
      </w:r>
      <w:r w:rsidR="00380B11">
        <w:rPr>
          <w:rFonts w:ascii="Arial" w:hAnsi="Arial" w:cs="Arial"/>
          <w:sz w:val="20"/>
          <w:szCs w:val="20"/>
        </w:rPr>
        <w:t>,</w:t>
      </w:r>
      <w:r w:rsidR="00B02B47">
        <w:rPr>
          <w:rFonts w:ascii="Arial" w:hAnsi="Arial" w:cs="Arial"/>
          <w:sz w:val="20"/>
          <w:szCs w:val="20"/>
        </w:rPr>
        <w:t>000</w:t>
      </w:r>
      <w:r w:rsidR="00380B11">
        <w:rPr>
          <w:rFonts w:ascii="Arial" w:hAnsi="Arial" w:cs="Arial"/>
          <w:sz w:val="20"/>
          <w:szCs w:val="20"/>
        </w:rPr>
        <w:t>,</w:t>
      </w:r>
      <w:r w:rsidR="00B02B47">
        <w:rPr>
          <w:rFonts w:ascii="Arial" w:hAnsi="Arial" w:cs="Arial"/>
          <w:sz w:val="20"/>
          <w:szCs w:val="20"/>
        </w:rPr>
        <w:t>000</w:t>
      </w:r>
    </w:p>
    <w:p w:rsidR="00B02B47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 xml:space="preserve">- Members of the </w:t>
      </w:r>
      <w:r w:rsidR="00B02B47">
        <w:rPr>
          <w:rFonts w:ascii="Arial" w:hAnsi="Arial" w:cs="Arial"/>
          <w:sz w:val="20"/>
          <w:szCs w:val="20"/>
        </w:rPr>
        <w:t>Board of Directors</w:t>
      </w:r>
      <w:r w:rsidR="00380B11">
        <w:rPr>
          <w:rFonts w:ascii="Arial" w:hAnsi="Arial" w:cs="Arial"/>
          <w:sz w:val="20"/>
          <w:szCs w:val="20"/>
        </w:rPr>
        <w:t>: VND</w:t>
      </w:r>
      <w:r w:rsidRPr="007617F1">
        <w:rPr>
          <w:rFonts w:ascii="Arial" w:hAnsi="Arial" w:cs="Arial"/>
          <w:sz w:val="20"/>
          <w:szCs w:val="20"/>
        </w:rPr>
        <w:t xml:space="preserve"> 5</w:t>
      </w:r>
      <w:r w:rsidR="00380B11">
        <w:rPr>
          <w:rFonts w:ascii="Arial" w:hAnsi="Arial" w:cs="Arial"/>
          <w:sz w:val="20"/>
          <w:szCs w:val="20"/>
        </w:rPr>
        <w:t>,</w:t>
      </w:r>
      <w:r w:rsidRPr="007617F1">
        <w:rPr>
          <w:rFonts w:ascii="Arial" w:hAnsi="Arial" w:cs="Arial"/>
          <w:sz w:val="20"/>
          <w:szCs w:val="20"/>
        </w:rPr>
        <w:t>000</w:t>
      </w:r>
      <w:r w:rsidR="00380B11">
        <w:rPr>
          <w:rFonts w:ascii="Arial" w:hAnsi="Arial" w:cs="Arial"/>
          <w:sz w:val="20"/>
          <w:szCs w:val="20"/>
        </w:rPr>
        <w:t>,000</w:t>
      </w:r>
      <w:r w:rsidRPr="007617F1">
        <w:rPr>
          <w:rFonts w:ascii="Arial" w:hAnsi="Arial" w:cs="Arial"/>
          <w:sz w:val="20"/>
          <w:szCs w:val="20"/>
        </w:rPr>
        <w:t xml:space="preserve">/ month x 12 months x 6 </w:t>
      </w:r>
      <w:r w:rsidR="00B02B47">
        <w:rPr>
          <w:rFonts w:ascii="Arial" w:hAnsi="Arial" w:cs="Arial"/>
          <w:sz w:val="20"/>
          <w:szCs w:val="20"/>
        </w:rPr>
        <w:t xml:space="preserve">people = </w:t>
      </w:r>
      <w:r w:rsidR="00380B11">
        <w:rPr>
          <w:rFonts w:ascii="Arial" w:hAnsi="Arial" w:cs="Arial"/>
          <w:sz w:val="20"/>
          <w:szCs w:val="20"/>
        </w:rPr>
        <w:t xml:space="preserve">VND </w:t>
      </w:r>
      <w:r w:rsidR="00B02B47">
        <w:rPr>
          <w:rFonts w:ascii="Arial" w:hAnsi="Arial" w:cs="Arial"/>
          <w:sz w:val="20"/>
          <w:szCs w:val="20"/>
        </w:rPr>
        <w:t>360</w:t>
      </w:r>
      <w:r w:rsidR="00380B11">
        <w:rPr>
          <w:rFonts w:ascii="Arial" w:hAnsi="Arial" w:cs="Arial"/>
          <w:sz w:val="20"/>
          <w:szCs w:val="20"/>
        </w:rPr>
        <w:t>,</w:t>
      </w:r>
      <w:r w:rsidR="00B02B47">
        <w:rPr>
          <w:rFonts w:ascii="Arial" w:hAnsi="Arial" w:cs="Arial"/>
          <w:sz w:val="20"/>
          <w:szCs w:val="20"/>
        </w:rPr>
        <w:t>000</w:t>
      </w:r>
      <w:r w:rsidR="00380B11">
        <w:rPr>
          <w:rFonts w:ascii="Arial" w:hAnsi="Arial" w:cs="Arial"/>
          <w:sz w:val="20"/>
          <w:szCs w:val="20"/>
        </w:rPr>
        <w:t>,</w:t>
      </w:r>
      <w:r w:rsidR="00B02B47">
        <w:rPr>
          <w:rFonts w:ascii="Arial" w:hAnsi="Arial" w:cs="Arial"/>
          <w:sz w:val="20"/>
          <w:szCs w:val="20"/>
        </w:rPr>
        <w:t>000</w:t>
      </w:r>
    </w:p>
    <w:p w:rsidR="007617F1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>- Members of the Supervisory Board</w:t>
      </w:r>
      <w:r w:rsidR="00380B11">
        <w:rPr>
          <w:rFonts w:ascii="Arial" w:hAnsi="Arial" w:cs="Arial"/>
          <w:sz w:val="20"/>
          <w:szCs w:val="20"/>
        </w:rPr>
        <w:t>: VND</w:t>
      </w:r>
      <w:r w:rsidRPr="007617F1">
        <w:rPr>
          <w:rFonts w:ascii="Arial" w:hAnsi="Arial" w:cs="Arial"/>
          <w:sz w:val="20"/>
          <w:szCs w:val="20"/>
        </w:rPr>
        <w:t xml:space="preserve"> 3</w:t>
      </w:r>
      <w:r w:rsidR="00380B11">
        <w:rPr>
          <w:rFonts w:ascii="Arial" w:hAnsi="Arial" w:cs="Arial"/>
          <w:sz w:val="20"/>
          <w:szCs w:val="20"/>
        </w:rPr>
        <w:t>,</w:t>
      </w:r>
      <w:r w:rsidRPr="007617F1">
        <w:rPr>
          <w:rFonts w:ascii="Arial" w:hAnsi="Arial" w:cs="Arial"/>
          <w:sz w:val="20"/>
          <w:szCs w:val="20"/>
        </w:rPr>
        <w:t>000</w:t>
      </w:r>
      <w:r w:rsidR="00380B11">
        <w:rPr>
          <w:rFonts w:ascii="Arial" w:hAnsi="Arial" w:cs="Arial"/>
          <w:sz w:val="20"/>
          <w:szCs w:val="20"/>
        </w:rPr>
        <w:t>,000</w:t>
      </w:r>
      <w:r w:rsidRPr="007617F1">
        <w:rPr>
          <w:rFonts w:ascii="Arial" w:hAnsi="Arial" w:cs="Arial"/>
          <w:sz w:val="20"/>
          <w:szCs w:val="20"/>
        </w:rPr>
        <w:t>/ month x 12 months x 4 people</w:t>
      </w:r>
      <w:r w:rsidR="00380B11">
        <w:rPr>
          <w:rFonts w:ascii="Arial" w:hAnsi="Arial" w:cs="Arial"/>
          <w:sz w:val="20"/>
          <w:szCs w:val="20"/>
        </w:rPr>
        <w:t xml:space="preserve"> = VND 144,000,000</w:t>
      </w:r>
    </w:p>
    <w:p w:rsidR="00B02B47" w:rsidRDefault="00B02B4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remuneration payment in 2019</w:t>
      </w:r>
      <w:r w:rsidR="00380B11">
        <w:rPr>
          <w:rFonts w:ascii="Arial" w:hAnsi="Arial" w:cs="Arial"/>
          <w:sz w:val="20"/>
          <w:szCs w:val="20"/>
        </w:rPr>
        <w:t>: VND</w:t>
      </w:r>
      <w:r>
        <w:rPr>
          <w:rFonts w:ascii="Arial" w:hAnsi="Arial" w:cs="Arial"/>
          <w:sz w:val="20"/>
          <w:szCs w:val="20"/>
        </w:rPr>
        <w:t xml:space="preserve"> 588,000,000</w:t>
      </w:r>
    </w:p>
    <w:p w:rsidR="00B02B47" w:rsidRDefault="00B02B4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Remuneration plan 2020</w:t>
      </w:r>
    </w:p>
    <w:p w:rsidR="00B02B47" w:rsidRDefault="00B02B4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617F1" w:rsidRPr="007617F1">
        <w:rPr>
          <w:rFonts w:ascii="Arial" w:hAnsi="Arial" w:cs="Arial"/>
          <w:sz w:val="20"/>
          <w:szCs w:val="20"/>
        </w:rPr>
        <w:t>Vice Chairman</w:t>
      </w:r>
      <w:r>
        <w:rPr>
          <w:rFonts w:ascii="Arial" w:hAnsi="Arial" w:cs="Arial"/>
          <w:sz w:val="20"/>
          <w:szCs w:val="20"/>
        </w:rPr>
        <w:t xml:space="preserve"> of the Board of Directors: VND</w:t>
      </w:r>
      <w:r w:rsidR="007617F1" w:rsidRPr="007617F1">
        <w:rPr>
          <w:rFonts w:ascii="Arial" w:hAnsi="Arial" w:cs="Arial"/>
          <w:sz w:val="20"/>
          <w:szCs w:val="20"/>
        </w:rPr>
        <w:t xml:space="preserve"> 7</w:t>
      </w:r>
      <w:r w:rsidR="00380B11">
        <w:rPr>
          <w:rFonts w:ascii="Arial" w:hAnsi="Arial" w:cs="Arial"/>
          <w:sz w:val="20"/>
          <w:szCs w:val="20"/>
        </w:rPr>
        <w:t>,</w:t>
      </w:r>
      <w:r w:rsidR="007617F1" w:rsidRPr="007617F1">
        <w:rPr>
          <w:rFonts w:ascii="Arial" w:hAnsi="Arial" w:cs="Arial"/>
          <w:sz w:val="20"/>
          <w:szCs w:val="20"/>
        </w:rPr>
        <w:t>000</w:t>
      </w:r>
      <w:r w:rsidR="00380B11">
        <w:rPr>
          <w:rFonts w:ascii="Arial" w:hAnsi="Arial" w:cs="Arial"/>
          <w:sz w:val="20"/>
          <w:szCs w:val="20"/>
        </w:rPr>
        <w:t>,000</w:t>
      </w:r>
      <w:r w:rsidR="007617F1" w:rsidRPr="007617F1">
        <w:rPr>
          <w:rFonts w:ascii="Arial" w:hAnsi="Arial" w:cs="Arial"/>
          <w:sz w:val="20"/>
          <w:szCs w:val="20"/>
        </w:rPr>
        <w:t>/ month x 12 months x 1</w:t>
      </w:r>
      <w:r>
        <w:rPr>
          <w:rFonts w:ascii="Arial" w:hAnsi="Arial" w:cs="Arial"/>
          <w:sz w:val="20"/>
          <w:szCs w:val="20"/>
        </w:rPr>
        <w:t xml:space="preserve"> person = </w:t>
      </w:r>
      <w:r w:rsidR="00380B11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84</w:t>
      </w:r>
      <w:r w:rsidR="00380B1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000</w:t>
      </w:r>
      <w:r w:rsidR="00380B1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000</w:t>
      </w:r>
    </w:p>
    <w:p w:rsidR="00B02B47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 xml:space="preserve">- Members of the </w:t>
      </w:r>
      <w:r w:rsidR="00B02B47">
        <w:rPr>
          <w:rFonts w:ascii="Arial" w:hAnsi="Arial" w:cs="Arial"/>
          <w:sz w:val="20"/>
          <w:szCs w:val="20"/>
        </w:rPr>
        <w:t>Board of Directors: VND</w:t>
      </w:r>
      <w:r w:rsidRPr="007617F1">
        <w:rPr>
          <w:rFonts w:ascii="Arial" w:hAnsi="Arial" w:cs="Arial"/>
          <w:sz w:val="20"/>
          <w:szCs w:val="20"/>
        </w:rPr>
        <w:t xml:space="preserve"> 5</w:t>
      </w:r>
      <w:r w:rsidR="00380B11">
        <w:rPr>
          <w:rFonts w:ascii="Arial" w:hAnsi="Arial" w:cs="Arial"/>
          <w:sz w:val="20"/>
          <w:szCs w:val="20"/>
        </w:rPr>
        <w:t>,</w:t>
      </w:r>
      <w:r w:rsidRPr="007617F1">
        <w:rPr>
          <w:rFonts w:ascii="Arial" w:hAnsi="Arial" w:cs="Arial"/>
          <w:sz w:val="20"/>
          <w:szCs w:val="20"/>
        </w:rPr>
        <w:t>000</w:t>
      </w:r>
      <w:r w:rsidR="00380B11">
        <w:rPr>
          <w:rFonts w:ascii="Arial" w:hAnsi="Arial" w:cs="Arial"/>
          <w:sz w:val="20"/>
          <w:szCs w:val="20"/>
        </w:rPr>
        <w:t>,000</w:t>
      </w:r>
      <w:r w:rsidRPr="007617F1">
        <w:rPr>
          <w:rFonts w:ascii="Arial" w:hAnsi="Arial" w:cs="Arial"/>
          <w:sz w:val="20"/>
          <w:szCs w:val="20"/>
        </w:rPr>
        <w:t xml:space="preserve">/ month x 12 months x 6 </w:t>
      </w:r>
      <w:r w:rsidR="00B02B47">
        <w:rPr>
          <w:rFonts w:ascii="Arial" w:hAnsi="Arial" w:cs="Arial"/>
          <w:sz w:val="20"/>
          <w:szCs w:val="20"/>
        </w:rPr>
        <w:t xml:space="preserve">people = </w:t>
      </w:r>
      <w:r w:rsidR="00380B11">
        <w:rPr>
          <w:rFonts w:ascii="Arial" w:hAnsi="Arial" w:cs="Arial"/>
          <w:sz w:val="20"/>
          <w:szCs w:val="20"/>
        </w:rPr>
        <w:t xml:space="preserve">VND </w:t>
      </w:r>
      <w:r w:rsidR="00B02B47">
        <w:rPr>
          <w:rFonts w:ascii="Arial" w:hAnsi="Arial" w:cs="Arial"/>
          <w:sz w:val="20"/>
          <w:szCs w:val="20"/>
        </w:rPr>
        <w:t>360</w:t>
      </w:r>
      <w:r w:rsidR="00380B11">
        <w:rPr>
          <w:rFonts w:ascii="Arial" w:hAnsi="Arial" w:cs="Arial"/>
          <w:sz w:val="20"/>
          <w:szCs w:val="20"/>
        </w:rPr>
        <w:t>,</w:t>
      </w:r>
      <w:r w:rsidR="00B02B47">
        <w:rPr>
          <w:rFonts w:ascii="Arial" w:hAnsi="Arial" w:cs="Arial"/>
          <w:sz w:val="20"/>
          <w:szCs w:val="20"/>
        </w:rPr>
        <w:t>000</w:t>
      </w:r>
      <w:r w:rsidR="00380B11">
        <w:rPr>
          <w:rFonts w:ascii="Arial" w:hAnsi="Arial" w:cs="Arial"/>
          <w:sz w:val="20"/>
          <w:szCs w:val="20"/>
        </w:rPr>
        <w:t>,</w:t>
      </w:r>
      <w:r w:rsidR="00B02B47">
        <w:rPr>
          <w:rFonts w:ascii="Arial" w:hAnsi="Arial" w:cs="Arial"/>
          <w:sz w:val="20"/>
          <w:szCs w:val="20"/>
        </w:rPr>
        <w:t xml:space="preserve">000 </w:t>
      </w:r>
    </w:p>
    <w:p w:rsidR="00B02B47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>- Members of the Supervisory Board</w:t>
      </w:r>
      <w:r w:rsidR="00B02B47">
        <w:rPr>
          <w:rFonts w:ascii="Arial" w:hAnsi="Arial" w:cs="Arial"/>
          <w:sz w:val="20"/>
          <w:szCs w:val="20"/>
        </w:rPr>
        <w:t>: VND</w:t>
      </w:r>
      <w:r w:rsidRPr="007617F1">
        <w:rPr>
          <w:rFonts w:ascii="Arial" w:hAnsi="Arial" w:cs="Arial"/>
          <w:sz w:val="20"/>
          <w:szCs w:val="20"/>
        </w:rPr>
        <w:t xml:space="preserve"> 3</w:t>
      </w:r>
      <w:r w:rsidR="00380B11">
        <w:rPr>
          <w:rFonts w:ascii="Arial" w:hAnsi="Arial" w:cs="Arial"/>
          <w:sz w:val="20"/>
          <w:szCs w:val="20"/>
        </w:rPr>
        <w:t>,</w:t>
      </w:r>
      <w:r w:rsidRPr="007617F1">
        <w:rPr>
          <w:rFonts w:ascii="Arial" w:hAnsi="Arial" w:cs="Arial"/>
          <w:sz w:val="20"/>
          <w:szCs w:val="20"/>
        </w:rPr>
        <w:t>000</w:t>
      </w:r>
      <w:r w:rsidR="00380B11">
        <w:rPr>
          <w:rFonts w:ascii="Arial" w:hAnsi="Arial" w:cs="Arial"/>
          <w:sz w:val="20"/>
          <w:szCs w:val="20"/>
        </w:rPr>
        <w:t>,000</w:t>
      </w:r>
      <w:r w:rsidRPr="007617F1">
        <w:rPr>
          <w:rFonts w:ascii="Arial" w:hAnsi="Arial" w:cs="Arial"/>
          <w:sz w:val="20"/>
          <w:szCs w:val="20"/>
        </w:rPr>
        <w:t xml:space="preserve">/ month x 12 months x 4 </w:t>
      </w:r>
      <w:r w:rsidR="00B02B47">
        <w:rPr>
          <w:rFonts w:ascii="Arial" w:hAnsi="Arial" w:cs="Arial"/>
          <w:sz w:val="20"/>
          <w:szCs w:val="20"/>
        </w:rPr>
        <w:t xml:space="preserve">people = </w:t>
      </w:r>
      <w:r w:rsidR="00380B11">
        <w:rPr>
          <w:rFonts w:ascii="Arial" w:hAnsi="Arial" w:cs="Arial"/>
          <w:sz w:val="20"/>
          <w:szCs w:val="20"/>
        </w:rPr>
        <w:t xml:space="preserve">VND </w:t>
      </w:r>
      <w:r w:rsidR="00B02B47">
        <w:rPr>
          <w:rFonts w:ascii="Arial" w:hAnsi="Arial" w:cs="Arial"/>
          <w:sz w:val="20"/>
          <w:szCs w:val="20"/>
        </w:rPr>
        <w:t>144</w:t>
      </w:r>
      <w:r w:rsidR="00380B11">
        <w:rPr>
          <w:rFonts w:ascii="Arial" w:hAnsi="Arial" w:cs="Arial"/>
          <w:sz w:val="20"/>
          <w:szCs w:val="20"/>
        </w:rPr>
        <w:t>,</w:t>
      </w:r>
      <w:r w:rsidR="00B02B47">
        <w:rPr>
          <w:rFonts w:ascii="Arial" w:hAnsi="Arial" w:cs="Arial"/>
          <w:sz w:val="20"/>
          <w:szCs w:val="20"/>
        </w:rPr>
        <w:t>000</w:t>
      </w:r>
      <w:r w:rsidR="00380B11">
        <w:rPr>
          <w:rFonts w:ascii="Arial" w:hAnsi="Arial" w:cs="Arial"/>
          <w:sz w:val="20"/>
          <w:szCs w:val="20"/>
        </w:rPr>
        <w:t>,</w:t>
      </w:r>
      <w:r w:rsidR="00B02B47">
        <w:rPr>
          <w:rFonts w:ascii="Arial" w:hAnsi="Arial" w:cs="Arial"/>
          <w:sz w:val="20"/>
          <w:szCs w:val="20"/>
        </w:rPr>
        <w:t>000</w:t>
      </w:r>
    </w:p>
    <w:p w:rsidR="00B02B47" w:rsidRDefault="00B02B4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617F1" w:rsidRPr="007617F1">
        <w:rPr>
          <w:rFonts w:ascii="Arial" w:hAnsi="Arial" w:cs="Arial"/>
          <w:sz w:val="20"/>
          <w:szCs w:val="20"/>
        </w:rPr>
        <w:t>Estimated total rem</w:t>
      </w:r>
      <w:r w:rsidR="00380B11">
        <w:rPr>
          <w:rFonts w:ascii="Arial" w:hAnsi="Arial" w:cs="Arial"/>
          <w:sz w:val="20"/>
          <w:szCs w:val="20"/>
        </w:rPr>
        <w:t>uneration for the 2020 plan</w:t>
      </w:r>
      <w:r>
        <w:rPr>
          <w:rFonts w:ascii="Arial" w:hAnsi="Arial" w:cs="Arial"/>
          <w:sz w:val="20"/>
          <w:szCs w:val="20"/>
        </w:rPr>
        <w:t>: VND</w:t>
      </w:r>
      <w:r w:rsidR="007617F1" w:rsidRPr="007617F1">
        <w:rPr>
          <w:rFonts w:ascii="Arial" w:hAnsi="Arial" w:cs="Arial"/>
          <w:sz w:val="20"/>
          <w:szCs w:val="20"/>
        </w:rPr>
        <w:t xml:space="preserve"> 588</w:t>
      </w:r>
      <w:r w:rsidR="00380B11">
        <w:rPr>
          <w:rFonts w:ascii="Arial" w:hAnsi="Arial" w:cs="Arial"/>
          <w:sz w:val="20"/>
          <w:szCs w:val="20"/>
        </w:rPr>
        <w:t>,</w:t>
      </w:r>
      <w:r w:rsidR="007617F1" w:rsidRPr="007617F1">
        <w:rPr>
          <w:rFonts w:ascii="Arial" w:hAnsi="Arial" w:cs="Arial"/>
          <w:sz w:val="20"/>
          <w:szCs w:val="20"/>
        </w:rPr>
        <w:t>000</w:t>
      </w:r>
      <w:r w:rsidR="00380B11">
        <w:rPr>
          <w:rFonts w:ascii="Arial" w:hAnsi="Arial" w:cs="Arial"/>
          <w:sz w:val="20"/>
          <w:szCs w:val="20"/>
        </w:rPr>
        <w:t>,</w:t>
      </w:r>
      <w:r w:rsidR="007617F1" w:rsidRPr="007617F1">
        <w:rPr>
          <w:rFonts w:ascii="Arial" w:hAnsi="Arial" w:cs="Arial"/>
          <w:sz w:val="20"/>
          <w:szCs w:val="20"/>
        </w:rPr>
        <w:t xml:space="preserve">000 </w:t>
      </w:r>
    </w:p>
    <w:p w:rsidR="00B02B47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 xml:space="preserve">Content 8: Approval of the selection of auditing units Financial Statements </w:t>
      </w:r>
      <w:r w:rsidR="00380B11">
        <w:rPr>
          <w:rFonts w:ascii="Arial" w:hAnsi="Arial" w:cs="Arial"/>
          <w:sz w:val="20"/>
          <w:szCs w:val="20"/>
        </w:rPr>
        <w:t xml:space="preserve">of </w:t>
      </w:r>
      <w:r w:rsidRPr="007617F1">
        <w:rPr>
          <w:rFonts w:ascii="Arial" w:hAnsi="Arial" w:cs="Arial"/>
          <w:sz w:val="20"/>
          <w:szCs w:val="20"/>
        </w:rPr>
        <w:t xml:space="preserve">2020 </w:t>
      </w:r>
    </w:p>
    <w:p w:rsidR="00380B11" w:rsidRDefault="00380B11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Statement No.19/ 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 – BKS dated</w:t>
      </w:r>
      <w:r w:rsidR="007617F1" w:rsidRPr="007617F1">
        <w:rPr>
          <w:rFonts w:ascii="Arial" w:hAnsi="Arial" w:cs="Arial"/>
          <w:sz w:val="20"/>
          <w:szCs w:val="20"/>
        </w:rPr>
        <w:t xml:space="preserve"> March 12, 2020 of</w:t>
      </w:r>
      <w:r>
        <w:rPr>
          <w:rFonts w:ascii="Arial" w:hAnsi="Arial" w:cs="Arial"/>
          <w:sz w:val="20"/>
          <w:szCs w:val="20"/>
        </w:rPr>
        <w:t xml:space="preserve"> the Supervisory Board on</w:t>
      </w:r>
      <w:r w:rsidR="007617F1" w:rsidRPr="007617F1">
        <w:rPr>
          <w:rFonts w:ascii="Arial" w:hAnsi="Arial" w:cs="Arial"/>
          <w:sz w:val="20"/>
          <w:szCs w:val="20"/>
        </w:rPr>
        <w:t xml:space="preserve"> selection of</w:t>
      </w:r>
      <w:r>
        <w:rPr>
          <w:rFonts w:ascii="Arial" w:hAnsi="Arial" w:cs="Arial"/>
          <w:sz w:val="20"/>
          <w:szCs w:val="20"/>
        </w:rPr>
        <w:t xml:space="preserve"> independent auditing companies t</w:t>
      </w:r>
      <w:r w:rsidR="007617F1" w:rsidRPr="007617F1">
        <w:rPr>
          <w:rFonts w:ascii="Arial" w:hAnsi="Arial" w:cs="Arial"/>
          <w:sz w:val="20"/>
          <w:szCs w:val="20"/>
        </w:rPr>
        <w:t>o audit the Financial Statements of 2020, the General Meeting of Shareholders authorize</w:t>
      </w:r>
      <w:r>
        <w:rPr>
          <w:rFonts w:ascii="Arial" w:hAnsi="Arial" w:cs="Arial"/>
          <w:sz w:val="20"/>
          <w:szCs w:val="20"/>
        </w:rPr>
        <w:t>d</w:t>
      </w:r>
      <w:r w:rsidR="007617F1" w:rsidRPr="007617F1">
        <w:rPr>
          <w:rFonts w:ascii="Arial" w:hAnsi="Arial" w:cs="Arial"/>
          <w:sz w:val="20"/>
          <w:szCs w:val="20"/>
        </w:rPr>
        <w:t xml:space="preserve"> the Supervisory Board and the Chief Accountant to select one of the following three units: </w:t>
      </w:r>
    </w:p>
    <w:p w:rsidR="00380B11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>(1) CPA Vietnam Auditing Co., Ltd, 8th Floor, VG</w:t>
      </w:r>
      <w:r w:rsidR="00380B11">
        <w:rPr>
          <w:rFonts w:ascii="Arial" w:hAnsi="Arial" w:cs="Arial"/>
          <w:sz w:val="20"/>
          <w:szCs w:val="20"/>
        </w:rPr>
        <w:t xml:space="preserve"> Office Building, No. </w:t>
      </w:r>
      <w:r w:rsidRPr="007617F1">
        <w:rPr>
          <w:rFonts w:ascii="Arial" w:hAnsi="Arial" w:cs="Arial"/>
          <w:sz w:val="20"/>
          <w:szCs w:val="20"/>
        </w:rPr>
        <w:t xml:space="preserve">235 Nguyen </w:t>
      </w:r>
      <w:proofErr w:type="spellStart"/>
      <w:r w:rsidRPr="007617F1">
        <w:rPr>
          <w:rFonts w:ascii="Arial" w:hAnsi="Arial" w:cs="Arial"/>
          <w:sz w:val="20"/>
          <w:szCs w:val="20"/>
        </w:rPr>
        <w:t>Trai</w:t>
      </w:r>
      <w:proofErr w:type="spellEnd"/>
      <w:r w:rsidRPr="007617F1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7617F1">
        <w:rPr>
          <w:rFonts w:ascii="Arial" w:hAnsi="Arial" w:cs="Arial"/>
          <w:sz w:val="20"/>
          <w:szCs w:val="20"/>
        </w:rPr>
        <w:t>T</w:t>
      </w:r>
      <w:r w:rsidR="00380B11">
        <w:rPr>
          <w:rFonts w:ascii="Arial" w:hAnsi="Arial" w:cs="Arial"/>
          <w:sz w:val="20"/>
          <w:szCs w:val="20"/>
        </w:rPr>
        <w:t>hanh</w:t>
      </w:r>
      <w:proofErr w:type="spellEnd"/>
      <w:r w:rsidR="0038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0B11">
        <w:rPr>
          <w:rFonts w:ascii="Arial" w:hAnsi="Arial" w:cs="Arial"/>
          <w:sz w:val="20"/>
          <w:szCs w:val="20"/>
        </w:rPr>
        <w:t>Xuan</w:t>
      </w:r>
      <w:proofErr w:type="spellEnd"/>
      <w:r w:rsidR="00380B11"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 w:rsidR="00380B11">
        <w:rPr>
          <w:rFonts w:ascii="Arial" w:hAnsi="Arial" w:cs="Arial"/>
          <w:sz w:val="20"/>
          <w:szCs w:val="20"/>
        </w:rPr>
        <w:t>Noi</w:t>
      </w:r>
      <w:proofErr w:type="spellEnd"/>
      <w:r w:rsidR="00380B11">
        <w:rPr>
          <w:rFonts w:ascii="Arial" w:hAnsi="Arial" w:cs="Arial"/>
          <w:sz w:val="20"/>
          <w:szCs w:val="20"/>
        </w:rPr>
        <w:t xml:space="preserve"> City</w:t>
      </w:r>
    </w:p>
    <w:p w:rsidR="00380B11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t>(2) AFC Vietnam Auditing Co</w:t>
      </w:r>
      <w:r w:rsidR="00380B11">
        <w:rPr>
          <w:rFonts w:ascii="Arial" w:hAnsi="Arial" w:cs="Arial"/>
          <w:sz w:val="20"/>
          <w:szCs w:val="20"/>
        </w:rPr>
        <w:t>., Ltd, Indochina Park Tower</w:t>
      </w:r>
      <w:r w:rsidRPr="007617F1">
        <w:rPr>
          <w:rFonts w:ascii="Arial" w:hAnsi="Arial" w:cs="Arial"/>
          <w:sz w:val="20"/>
          <w:szCs w:val="20"/>
        </w:rPr>
        <w:t xml:space="preserve">, No. 04, Nguyen </w:t>
      </w:r>
      <w:proofErr w:type="spellStart"/>
      <w:r w:rsidRPr="007617F1">
        <w:rPr>
          <w:rFonts w:ascii="Arial" w:hAnsi="Arial" w:cs="Arial"/>
          <w:sz w:val="20"/>
          <w:szCs w:val="20"/>
        </w:rPr>
        <w:t>Dinh</w:t>
      </w:r>
      <w:proofErr w:type="spellEnd"/>
      <w:r w:rsidRPr="007617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17F1">
        <w:rPr>
          <w:rFonts w:ascii="Arial" w:hAnsi="Arial" w:cs="Arial"/>
          <w:sz w:val="20"/>
          <w:szCs w:val="20"/>
        </w:rPr>
        <w:t>Chieu</w:t>
      </w:r>
      <w:proofErr w:type="spellEnd"/>
      <w:r w:rsidRPr="007617F1">
        <w:rPr>
          <w:rFonts w:ascii="Arial" w:hAnsi="Arial" w:cs="Arial"/>
          <w:sz w:val="20"/>
          <w:szCs w:val="20"/>
        </w:rPr>
        <w:t xml:space="preserve"> Street,</w:t>
      </w:r>
      <w:r w:rsidR="00380B11">
        <w:rPr>
          <w:rFonts w:ascii="Arial" w:hAnsi="Arial" w:cs="Arial"/>
          <w:sz w:val="20"/>
          <w:szCs w:val="20"/>
        </w:rPr>
        <w:t xml:space="preserve"> District 1, TP.  Ho Chi Minh</w:t>
      </w:r>
    </w:p>
    <w:p w:rsidR="00380B11" w:rsidRDefault="007617F1" w:rsidP="00F903A5">
      <w:pPr>
        <w:jc w:val="both"/>
        <w:rPr>
          <w:rFonts w:ascii="Arial" w:hAnsi="Arial" w:cs="Arial"/>
          <w:sz w:val="20"/>
          <w:szCs w:val="20"/>
        </w:rPr>
      </w:pPr>
      <w:r w:rsidRPr="007617F1">
        <w:rPr>
          <w:rFonts w:ascii="Arial" w:hAnsi="Arial" w:cs="Arial"/>
          <w:sz w:val="20"/>
          <w:szCs w:val="20"/>
        </w:rPr>
        <w:lastRenderedPageBreak/>
        <w:t>(3) RSM Vietnam Auditing and Consulting Co., Ltd., address</w:t>
      </w:r>
      <w:r w:rsidR="00380B11">
        <w:rPr>
          <w:rFonts w:ascii="Arial" w:hAnsi="Arial" w:cs="Arial"/>
          <w:sz w:val="20"/>
          <w:szCs w:val="20"/>
        </w:rPr>
        <w:t>:</w:t>
      </w:r>
      <w:r w:rsidRPr="007617F1">
        <w:rPr>
          <w:rFonts w:ascii="Arial" w:hAnsi="Arial" w:cs="Arial"/>
          <w:sz w:val="20"/>
          <w:szCs w:val="20"/>
        </w:rPr>
        <w:t xml:space="preserve"> 5th floor, Saigon 3 Building,</w:t>
      </w:r>
      <w:r w:rsidR="00380B11">
        <w:rPr>
          <w:rFonts w:ascii="Arial" w:hAnsi="Arial" w:cs="Arial"/>
          <w:sz w:val="20"/>
          <w:szCs w:val="20"/>
        </w:rPr>
        <w:t xml:space="preserve"> No.</w:t>
      </w:r>
      <w:r w:rsidRPr="007617F1">
        <w:rPr>
          <w:rFonts w:ascii="Arial" w:hAnsi="Arial" w:cs="Arial"/>
          <w:sz w:val="20"/>
          <w:szCs w:val="20"/>
        </w:rPr>
        <w:t xml:space="preserve">140 Nguyen Van Thu Street, </w:t>
      </w:r>
      <w:proofErr w:type="spellStart"/>
      <w:r w:rsidRPr="007617F1">
        <w:rPr>
          <w:rFonts w:ascii="Arial" w:hAnsi="Arial" w:cs="Arial"/>
          <w:sz w:val="20"/>
          <w:szCs w:val="20"/>
        </w:rPr>
        <w:t>Dakao</w:t>
      </w:r>
      <w:proofErr w:type="spellEnd"/>
      <w:r w:rsidRPr="007617F1">
        <w:rPr>
          <w:rFonts w:ascii="Arial" w:hAnsi="Arial" w:cs="Arial"/>
          <w:sz w:val="20"/>
          <w:szCs w:val="20"/>
        </w:rPr>
        <w:t xml:space="preserve"> W</w:t>
      </w:r>
      <w:r w:rsidR="00380B11">
        <w:rPr>
          <w:rFonts w:ascii="Arial" w:hAnsi="Arial" w:cs="Arial"/>
          <w:sz w:val="20"/>
          <w:szCs w:val="20"/>
        </w:rPr>
        <w:t xml:space="preserve">ard, District 1, </w:t>
      </w:r>
      <w:proofErr w:type="gramStart"/>
      <w:r w:rsidRPr="007617F1">
        <w:rPr>
          <w:rFonts w:ascii="Arial" w:hAnsi="Arial" w:cs="Arial"/>
          <w:sz w:val="20"/>
          <w:szCs w:val="20"/>
        </w:rPr>
        <w:t>Ho</w:t>
      </w:r>
      <w:proofErr w:type="gramEnd"/>
      <w:r w:rsidRPr="007617F1">
        <w:rPr>
          <w:rFonts w:ascii="Arial" w:hAnsi="Arial" w:cs="Arial"/>
          <w:sz w:val="20"/>
          <w:szCs w:val="20"/>
        </w:rPr>
        <w:t xml:space="preserve"> Chi Minh </w:t>
      </w:r>
      <w:r w:rsidR="00380B11">
        <w:rPr>
          <w:rFonts w:ascii="Arial" w:hAnsi="Arial" w:cs="Arial"/>
          <w:sz w:val="20"/>
          <w:szCs w:val="20"/>
        </w:rPr>
        <w:t>City</w:t>
      </w:r>
    </w:p>
    <w:p w:rsidR="00380B11" w:rsidRDefault="00380B11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General Mandate</w:t>
      </w:r>
      <w:r w:rsidR="007617F1" w:rsidRPr="007617F1">
        <w:rPr>
          <w:rFonts w:ascii="Arial" w:hAnsi="Arial" w:cs="Arial"/>
          <w:sz w:val="20"/>
          <w:szCs w:val="20"/>
        </w:rPr>
        <w:t xml:space="preserve"> was </w:t>
      </w:r>
      <w:r>
        <w:rPr>
          <w:rFonts w:ascii="Arial" w:hAnsi="Arial" w:cs="Arial"/>
          <w:sz w:val="20"/>
          <w:szCs w:val="20"/>
        </w:rPr>
        <w:t>approved</w:t>
      </w:r>
      <w:r w:rsidR="007617F1" w:rsidRPr="007617F1">
        <w:rPr>
          <w:rFonts w:ascii="Arial" w:hAnsi="Arial" w:cs="Arial"/>
          <w:sz w:val="20"/>
          <w:szCs w:val="20"/>
        </w:rPr>
        <w:t xml:space="preserve"> by the General Meeting of Shareholders of </w:t>
      </w:r>
      <w:proofErr w:type="spellStart"/>
      <w:r w:rsidR="007617F1" w:rsidRPr="007617F1">
        <w:rPr>
          <w:rFonts w:ascii="Arial" w:hAnsi="Arial" w:cs="Arial"/>
          <w:sz w:val="20"/>
          <w:szCs w:val="20"/>
        </w:rPr>
        <w:t>Kien</w:t>
      </w:r>
      <w:proofErr w:type="spellEnd"/>
      <w:r w:rsidR="007617F1" w:rsidRPr="007617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17F1" w:rsidRPr="007617F1">
        <w:rPr>
          <w:rFonts w:ascii="Arial" w:hAnsi="Arial" w:cs="Arial"/>
          <w:sz w:val="20"/>
          <w:szCs w:val="20"/>
        </w:rPr>
        <w:t>Giang</w:t>
      </w:r>
      <w:proofErr w:type="spellEnd"/>
      <w:r w:rsidR="007617F1" w:rsidRPr="007617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Trading</w:t>
      </w:r>
      <w:r w:rsidR="007617F1" w:rsidRPr="007617F1">
        <w:rPr>
          <w:rFonts w:ascii="Arial" w:hAnsi="Arial" w:cs="Arial"/>
          <w:sz w:val="20"/>
          <w:szCs w:val="20"/>
        </w:rPr>
        <w:t xml:space="preserve"> Jo</w:t>
      </w:r>
      <w:r>
        <w:rPr>
          <w:rFonts w:ascii="Arial" w:hAnsi="Arial" w:cs="Arial"/>
          <w:sz w:val="20"/>
          <w:szCs w:val="20"/>
        </w:rPr>
        <w:t>int Stock Company right at the M</w:t>
      </w:r>
      <w:r w:rsidR="007617F1" w:rsidRPr="007617F1">
        <w:rPr>
          <w:rFonts w:ascii="Arial" w:hAnsi="Arial" w:cs="Arial"/>
          <w:sz w:val="20"/>
          <w:szCs w:val="20"/>
        </w:rPr>
        <w:t xml:space="preserve">eeting, the Board of Directors and the Board of Management of the Company </w:t>
      </w:r>
      <w:proofErr w:type="gramStart"/>
      <w:r w:rsidR="007617F1" w:rsidRPr="007617F1">
        <w:rPr>
          <w:rFonts w:ascii="Arial" w:hAnsi="Arial" w:cs="Arial"/>
          <w:sz w:val="20"/>
          <w:szCs w:val="20"/>
        </w:rPr>
        <w:t>are</w:t>
      </w:r>
      <w:proofErr w:type="gramEnd"/>
      <w:r w:rsidR="007617F1" w:rsidRPr="007617F1">
        <w:rPr>
          <w:rFonts w:ascii="Arial" w:hAnsi="Arial" w:cs="Arial"/>
          <w:sz w:val="20"/>
          <w:szCs w:val="20"/>
        </w:rPr>
        <w:t xml:space="preserve"> responsible for implementing this </w:t>
      </w:r>
      <w:r>
        <w:rPr>
          <w:rFonts w:ascii="Arial" w:hAnsi="Arial" w:cs="Arial"/>
          <w:sz w:val="20"/>
          <w:szCs w:val="20"/>
        </w:rPr>
        <w:t>General Mandate</w:t>
      </w:r>
    </w:p>
    <w:p w:rsidR="007617F1" w:rsidRDefault="00380B11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617F1" w:rsidRPr="007617F1">
        <w:rPr>
          <w:rFonts w:ascii="Arial" w:hAnsi="Arial" w:cs="Arial"/>
          <w:sz w:val="20"/>
          <w:szCs w:val="20"/>
        </w:rPr>
        <w:t xml:space="preserve">his </w:t>
      </w:r>
      <w:r>
        <w:rPr>
          <w:rFonts w:ascii="Arial" w:hAnsi="Arial" w:cs="Arial"/>
          <w:sz w:val="20"/>
          <w:szCs w:val="20"/>
        </w:rPr>
        <w:t>General Mandate</w:t>
      </w:r>
      <w:r w:rsidR="007617F1" w:rsidRPr="007617F1">
        <w:rPr>
          <w:rFonts w:ascii="Arial" w:hAnsi="Arial" w:cs="Arial"/>
          <w:sz w:val="20"/>
          <w:szCs w:val="20"/>
        </w:rPr>
        <w:t xml:space="preserve"> takes effect from the date of signing</w:t>
      </w:r>
    </w:p>
    <w:sectPr w:rsidR="0076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32EC5"/>
    <w:rsid w:val="00197CF1"/>
    <w:rsid w:val="002D53EE"/>
    <w:rsid w:val="002E7FD0"/>
    <w:rsid w:val="00304722"/>
    <w:rsid w:val="00327CF7"/>
    <w:rsid w:val="00363980"/>
    <w:rsid w:val="00380B11"/>
    <w:rsid w:val="003B73F7"/>
    <w:rsid w:val="00467BC0"/>
    <w:rsid w:val="00496733"/>
    <w:rsid w:val="00503DD6"/>
    <w:rsid w:val="0058434E"/>
    <w:rsid w:val="005B40E5"/>
    <w:rsid w:val="006E15A6"/>
    <w:rsid w:val="006F0294"/>
    <w:rsid w:val="00745D9A"/>
    <w:rsid w:val="007617F1"/>
    <w:rsid w:val="007A1FCC"/>
    <w:rsid w:val="007B67AF"/>
    <w:rsid w:val="0084485C"/>
    <w:rsid w:val="0085264F"/>
    <w:rsid w:val="008544C2"/>
    <w:rsid w:val="009B385D"/>
    <w:rsid w:val="009C13BE"/>
    <w:rsid w:val="009E1744"/>
    <w:rsid w:val="00A128FC"/>
    <w:rsid w:val="00A63B6C"/>
    <w:rsid w:val="00AF67BE"/>
    <w:rsid w:val="00B02B47"/>
    <w:rsid w:val="00B70D7E"/>
    <w:rsid w:val="00B92B75"/>
    <w:rsid w:val="00BA1F12"/>
    <w:rsid w:val="00BA3FB7"/>
    <w:rsid w:val="00BD3CCA"/>
    <w:rsid w:val="00BF2439"/>
    <w:rsid w:val="00D051B4"/>
    <w:rsid w:val="00D52C26"/>
    <w:rsid w:val="00D74339"/>
    <w:rsid w:val="00DD7273"/>
    <w:rsid w:val="00DE2E64"/>
    <w:rsid w:val="00E1507C"/>
    <w:rsid w:val="00F86F7A"/>
    <w:rsid w:val="00F903A5"/>
    <w:rsid w:val="00FA5CFC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36</cp:revision>
  <dcterms:created xsi:type="dcterms:W3CDTF">2019-10-16T10:03:00Z</dcterms:created>
  <dcterms:modified xsi:type="dcterms:W3CDTF">2020-03-17T17:30:00Z</dcterms:modified>
</cp:coreProperties>
</file>